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4D126E" w:rsidRPr="00E93CB4" w14:paraId="014ABD1F" w14:textId="77777777" w:rsidTr="005329C4">
        <w:tc>
          <w:tcPr>
            <w:tcW w:w="3217" w:type="dxa"/>
          </w:tcPr>
          <w:p w14:paraId="1FA5EFA2" w14:textId="77777777" w:rsidR="004D126E" w:rsidRPr="00E93CB4" w:rsidRDefault="004D126E" w:rsidP="005329C4">
            <w:pPr>
              <w:ind w:right="22"/>
              <w:rPr>
                <w:rFonts w:ascii="Arial" w:eastAsia="Times New Roman" w:hAnsi="Arial" w:cs="Arial"/>
                <w:b/>
                <w:sz w:val="24"/>
                <w:szCs w:val="24"/>
                <w:lang w:eastAsia="en-AU"/>
              </w:rPr>
            </w:pPr>
            <w:r>
              <w:rPr>
                <w:noProof/>
                <w:lang w:eastAsia="en-AU"/>
              </w:rPr>
              <w:drawing>
                <wp:inline distT="0" distB="0" distL="0" distR="0" wp14:anchorId="0A0503E5" wp14:editId="7D730DCD">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3BE6EA7A" w14:textId="77777777" w:rsidR="004D126E" w:rsidRPr="00E93CB4" w:rsidRDefault="004D126E" w:rsidP="005329C4">
            <w:pPr>
              <w:ind w:right="22"/>
              <w:jc w:val="right"/>
              <w:rPr>
                <w:rFonts w:ascii="Arial" w:eastAsia="Times New Roman" w:hAnsi="Arial" w:cs="Arial"/>
                <w:b/>
                <w:sz w:val="24"/>
                <w:szCs w:val="24"/>
                <w:lang w:eastAsia="en-AU"/>
              </w:rPr>
            </w:pPr>
            <w:r>
              <w:rPr>
                <w:noProof/>
              </w:rPr>
              <w:drawing>
                <wp:anchor distT="0" distB="0" distL="114300" distR="114300" simplePos="0" relativeHeight="251659264" behindDoc="0" locked="0" layoutInCell="1" allowOverlap="1" wp14:anchorId="41E578B8" wp14:editId="1B54FF71">
                  <wp:simplePos x="0" y="0"/>
                  <wp:positionH relativeFrom="column">
                    <wp:posOffset>1890892</wp:posOffset>
                  </wp:positionH>
                  <wp:positionV relativeFrom="paragraph">
                    <wp:posOffset>103146</wp:posOffset>
                  </wp:positionV>
                  <wp:extent cx="1720933" cy="407849"/>
                  <wp:effectExtent l="0" t="0" r="0" b="0"/>
                  <wp:wrapNone/>
                  <wp:docPr id="5" name="Picture 5" descr="MuswellbrookShireCouncilLogo_rgb-large-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wellbrookShireCouncilLogo_rgb-large-landscap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933" cy="4078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E0EE2" w14:textId="77777777" w:rsidR="004D126E" w:rsidRPr="00E93CB4" w:rsidRDefault="004D126E" w:rsidP="005329C4">
            <w:pPr>
              <w:ind w:right="22"/>
              <w:jc w:val="both"/>
              <w:rPr>
                <w:rFonts w:ascii="Arial" w:eastAsia="Times New Roman" w:hAnsi="Arial" w:cs="Arial"/>
                <w:b/>
                <w:sz w:val="18"/>
                <w:szCs w:val="18"/>
                <w:lang w:eastAsia="en-AU"/>
              </w:rPr>
            </w:pPr>
          </w:p>
          <w:p w14:paraId="2A4DAF4C" w14:textId="77777777" w:rsidR="004D126E" w:rsidRPr="004B743F" w:rsidRDefault="004D126E" w:rsidP="005329C4">
            <w:pPr>
              <w:ind w:right="22"/>
              <w:jc w:val="right"/>
              <w:rPr>
                <w:rFonts w:ascii="Arial" w:hAnsi="Arial" w:cs="Arial"/>
                <w:b/>
                <w:bCs/>
                <w:sz w:val="24"/>
                <w:szCs w:val="24"/>
              </w:rPr>
            </w:pPr>
          </w:p>
        </w:tc>
      </w:tr>
      <w:tr w:rsidR="004D126E" w:rsidRPr="00E93CB4" w14:paraId="2BC6F07F" w14:textId="77777777" w:rsidTr="005329C4">
        <w:tc>
          <w:tcPr>
            <w:tcW w:w="9173" w:type="dxa"/>
            <w:gridSpan w:val="2"/>
          </w:tcPr>
          <w:p w14:paraId="2B45FED1" w14:textId="77777777" w:rsidR="004D126E" w:rsidRPr="00E93CB4" w:rsidRDefault="004D126E" w:rsidP="005329C4">
            <w:pPr>
              <w:ind w:right="22"/>
              <w:rPr>
                <w:rFonts w:ascii="Arial" w:eastAsia="Times New Roman" w:hAnsi="Arial" w:cs="Arial"/>
                <w:b/>
                <w:sz w:val="18"/>
                <w:szCs w:val="18"/>
                <w:lang w:eastAsia="en-AU"/>
              </w:rPr>
            </w:pPr>
          </w:p>
          <w:p w14:paraId="374D6661" w14:textId="313FBD9D" w:rsidR="004D126E" w:rsidRPr="0016140C" w:rsidRDefault="004D126E" w:rsidP="005329C4">
            <w:pPr>
              <w:ind w:right="22"/>
              <w:jc w:val="center"/>
              <w:rPr>
                <w:rFonts w:ascii="Arial" w:eastAsia="Times New Roman" w:hAnsi="Arial" w:cs="Arial"/>
                <w:b/>
                <w:sz w:val="28"/>
                <w:szCs w:val="28"/>
                <w:lang w:eastAsia="en-AU"/>
              </w:rPr>
            </w:pPr>
            <w:r w:rsidRPr="0016140C">
              <w:rPr>
                <w:rFonts w:ascii="Arial" w:eastAsia="Times New Roman" w:hAnsi="Arial" w:cs="Arial"/>
                <w:b/>
                <w:sz w:val="28"/>
                <w:szCs w:val="28"/>
                <w:lang w:eastAsia="en-AU"/>
              </w:rPr>
              <w:t xml:space="preserve">COUNCIL </w:t>
            </w:r>
            <w:r w:rsidR="00FD3DF5">
              <w:rPr>
                <w:rFonts w:ascii="Arial" w:eastAsia="Times New Roman" w:hAnsi="Arial" w:cs="Arial"/>
                <w:b/>
                <w:sz w:val="28"/>
                <w:szCs w:val="28"/>
                <w:lang w:eastAsia="en-AU"/>
              </w:rPr>
              <w:t xml:space="preserve">MEMORANDUM  </w:t>
            </w:r>
            <w:r>
              <w:rPr>
                <w:rFonts w:ascii="Arial" w:eastAsia="Times New Roman" w:hAnsi="Arial" w:cs="Arial"/>
                <w:b/>
                <w:sz w:val="28"/>
                <w:szCs w:val="28"/>
                <w:lang w:eastAsia="en-AU"/>
              </w:rPr>
              <w:t xml:space="preserve"> </w:t>
            </w:r>
          </w:p>
          <w:p w14:paraId="2F5D5D09" w14:textId="77777777" w:rsidR="004D126E" w:rsidRPr="00E93CB4" w:rsidRDefault="00000000" w:rsidP="005329C4">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C8B6F4A329C5466AB646D7B68FAC7184"/>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Content>
                <w:r w:rsidR="004D126E" w:rsidRPr="0016140C">
                  <w:rPr>
                    <w:rFonts w:ascii="Arial" w:eastAsia="Times New Roman" w:hAnsi="Arial" w:cs="Arial"/>
                    <w:sz w:val="24"/>
                    <w:szCs w:val="24"/>
                    <w:lang w:eastAsia="en-AU"/>
                  </w:rPr>
                  <w:t>HUNTER AND CENTRAL COAST REGIONAL</w:t>
                </w:r>
              </w:sdtContent>
            </w:sdt>
            <w:r w:rsidR="004D126E" w:rsidRPr="0016140C">
              <w:rPr>
                <w:rFonts w:ascii="Arial" w:eastAsia="Times New Roman" w:hAnsi="Arial" w:cs="Arial"/>
                <w:sz w:val="24"/>
                <w:szCs w:val="24"/>
                <w:lang w:eastAsia="en-AU"/>
              </w:rPr>
              <w:t xml:space="preserve"> PLANNING </w:t>
            </w:r>
            <w:r w:rsidR="004D126E" w:rsidRPr="00E93CB4">
              <w:rPr>
                <w:rFonts w:ascii="Arial" w:eastAsia="Times New Roman" w:hAnsi="Arial" w:cs="Arial"/>
                <w:sz w:val="24"/>
                <w:szCs w:val="24"/>
                <w:lang w:eastAsia="en-AU"/>
              </w:rPr>
              <w:t>PANEL</w:t>
            </w:r>
            <w:r w:rsidR="004D126E">
              <w:rPr>
                <w:rFonts w:ascii="Arial" w:eastAsia="Times New Roman" w:hAnsi="Arial" w:cs="Arial"/>
                <w:sz w:val="24"/>
                <w:szCs w:val="24"/>
                <w:lang w:eastAsia="en-AU"/>
              </w:rPr>
              <w:t xml:space="preserve"> </w:t>
            </w:r>
          </w:p>
        </w:tc>
      </w:tr>
    </w:tbl>
    <w:p w14:paraId="3A532234" w14:textId="40F4E6FE" w:rsidR="00210011" w:rsidRDefault="00210011"/>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4D126E" w:rsidRPr="0016140C" w14:paraId="1325318B" w14:textId="77777777" w:rsidTr="005329C4">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0F5DE24" w14:textId="77777777" w:rsidR="004D126E" w:rsidRPr="0016140C" w:rsidRDefault="004D126E" w:rsidP="005329C4">
            <w:pPr>
              <w:spacing w:before="60" w:after="60"/>
              <w:rPr>
                <w:rFonts w:ascii="Arial" w:hAnsi="Arial" w:cs="Arial"/>
                <w:color w:val="auto"/>
              </w:rPr>
            </w:pPr>
            <w:r w:rsidRPr="0016140C">
              <w:rPr>
                <w:rFonts w:ascii="Arial" w:hAnsi="Arial" w:cs="Arial"/>
                <w:color w:val="auto"/>
                <w:sz w:val="22"/>
                <w:szCs w:val="22"/>
              </w:rPr>
              <w:t>PANEL REFERENCE &amp; DA NUMBER</w:t>
            </w:r>
          </w:p>
        </w:tc>
        <w:tc>
          <w:tcPr>
            <w:tcW w:w="3393" w:type="pct"/>
            <w:vAlign w:val="center"/>
          </w:tcPr>
          <w:p w14:paraId="2357EC43" w14:textId="77777777" w:rsidR="004D126E" w:rsidRPr="0016140C" w:rsidRDefault="004D126E" w:rsidP="005329C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16140C">
              <w:rPr>
                <w:rFonts w:ascii="Arial" w:hAnsi="Arial" w:cs="Arial"/>
                <w:color w:val="auto"/>
                <w:sz w:val="22"/>
                <w:szCs w:val="22"/>
                <w:lang w:val="en-AU"/>
              </w:rPr>
              <w:t xml:space="preserve">PPSHCC-82 </w:t>
            </w:r>
          </w:p>
          <w:p w14:paraId="7F0F9071" w14:textId="77777777" w:rsidR="004D126E" w:rsidRPr="0016140C" w:rsidRDefault="004D126E" w:rsidP="005329C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16140C">
              <w:rPr>
                <w:rFonts w:ascii="Arial" w:hAnsi="Arial" w:cs="Arial"/>
                <w:color w:val="auto"/>
                <w:sz w:val="22"/>
                <w:szCs w:val="22"/>
                <w:lang w:val="en-AU"/>
              </w:rPr>
              <w:t xml:space="preserve">DA 2021/55 </w:t>
            </w:r>
          </w:p>
        </w:tc>
      </w:tr>
      <w:tr w:rsidR="004D126E" w:rsidRPr="00BB5C50" w14:paraId="2257EAC4" w14:textId="77777777" w:rsidTr="005329C4">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4EA69F4" w14:textId="77777777" w:rsidR="004D126E" w:rsidRPr="00E93CB4" w:rsidRDefault="004D126E" w:rsidP="005329C4">
            <w:pPr>
              <w:spacing w:before="60" w:after="60"/>
              <w:rPr>
                <w:rFonts w:ascii="Arial" w:hAnsi="Arial" w:cs="Arial"/>
              </w:rPr>
            </w:pPr>
            <w:r w:rsidRPr="009B4677">
              <w:rPr>
                <w:rFonts w:ascii="Arial" w:hAnsi="Arial" w:cs="Arial"/>
                <w:color w:val="auto"/>
                <w:sz w:val="22"/>
                <w:szCs w:val="22"/>
              </w:rPr>
              <w:t xml:space="preserve">PROPOSAL </w:t>
            </w:r>
          </w:p>
        </w:tc>
        <w:tc>
          <w:tcPr>
            <w:tcW w:w="3393" w:type="pct"/>
            <w:vAlign w:val="center"/>
          </w:tcPr>
          <w:p w14:paraId="7FEF81EA" w14:textId="77777777" w:rsidR="004D126E" w:rsidRPr="00BB5C50" w:rsidRDefault="004D126E" w:rsidP="005329C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BB5C50">
              <w:rPr>
                <w:rFonts w:ascii="Arial" w:hAnsi="Arial" w:cs="Arial"/>
                <w:color w:val="auto"/>
                <w:sz w:val="22"/>
                <w:szCs w:val="22"/>
              </w:rPr>
              <w:t xml:space="preserve">Waste Transfer Station </w:t>
            </w:r>
          </w:p>
        </w:tc>
      </w:tr>
      <w:tr w:rsidR="004D126E" w:rsidRPr="00BB5C50" w14:paraId="4F1B2003" w14:textId="77777777" w:rsidTr="005329C4">
        <w:trPr>
          <w:trHeight w:val="85"/>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1D62551" w14:textId="77777777" w:rsidR="004D126E" w:rsidRPr="00E93CB4" w:rsidRDefault="004D126E" w:rsidP="005329C4">
            <w:pPr>
              <w:spacing w:before="60" w:after="60"/>
              <w:rPr>
                <w:rFonts w:ascii="Arial" w:hAnsi="Arial" w:cs="Arial"/>
              </w:rPr>
            </w:pPr>
            <w:r w:rsidRPr="00E93CB4">
              <w:rPr>
                <w:rFonts w:ascii="Arial" w:hAnsi="Arial" w:cs="Arial"/>
                <w:color w:val="auto"/>
                <w:sz w:val="22"/>
                <w:szCs w:val="22"/>
              </w:rPr>
              <w:t>ADDRESS</w:t>
            </w:r>
          </w:p>
        </w:tc>
        <w:tc>
          <w:tcPr>
            <w:tcW w:w="3393" w:type="pct"/>
            <w:vAlign w:val="center"/>
          </w:tcPr>
          <w:p w14:paraId="2F624C2C" w14:textId="77777777" w:rsidR="004D126E" w:rsidRPr="00BB5C50" w:rsidRDefault="004D126E" w:rsidP="005329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BB5C50">
              <w:rPr>
                <w:rFonts w:ascii="Arial" w:hAnsi="Arial" w:cs="Arial"/>
                <w:color w:val="auto"/>
                <w:sz w:val="22"/>
                <w:szCs w:val="22"/>
                <w:lang w:val="en-AU"/>
              </w:rPr>
              <w:t>Lot 10 DP 1131270</w:t>
            </w:r>
          </w:p>
          <w:p w14:paraId="69111337" w14:textId="77777777" w:rsidR="004D126E" w:rsidRPr="00BB5C50" w:rsidRDefault="004D126E" w:rsidP="005329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BB5C50">
              <w:rPr>
                <w:rFonts w:ascii="Arial" w:hAnsi="Arial" w:cs="Arial"/>
                <w:color w:val="auto"/>
                <w:sz w:val="22"/>
                <w:szCs w:val="22"/>
              </w:rPr>
              <w:t>32 – 36 Glen Munro Road, Muswellbrook</w:t>
            </w:r>
          </w:p>
        </w:tc>
      </w:tr>
      <w:tr w:rsidR="004D126E" w:rsidRPr="00BB5C50" w14:paraId="1EA97D86" w14:textId="77777777" w:rsidTr="005329C4">
        <w:trPr>
          <w:trHeight w:val="85"/>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FBE6F4B" w14:textId="730306E2" w:rsidR="004D126E" w:rsidRPr="00E93CB4" w:rsidRDefault="004D126E" w:rsidP="005329C4">
            <w:pPr>
              <w:spacing w:before="60" w:after="60"/>
              <w:rPr>
                <w:rFonts w:ascii="Arial" w:hAnsi="Arial" w:cs="Arial"/>
              </w:rPr>
            </w:pPr>
            <w:r w:rsidRPr="004D126E">
              <w:rPr>
                <w:rFonts w:ascii="Arial" w:hAnsi="Arial" w:cs="Arial"/>
                <w:color w:val="auto"/>
                <w:sz w:val="22"/>
                <w:szCs w:val="22"/>
              </w:rPr>
              <w:t xml:space="preserve">AUTHOR </w:t>
            </w:r>
          </w:p>
        </w:tc>
        <w:tc>
          <w:tcPr>
            <w:tcW w:w="3393" w:type="pct"/>
            <w:vAlign w:val="center"/>
          </w:tcPr>
          <w:p w14:paraId="27C07DDE" w14:textId="63F2FE7E" w:rsidR="004D126E" w:rsidRPr="00B646C4" w:rsidRDefault="004D126E" w:rsidP="005329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646C4">
              <w:rPr>
                <w:rFonts w:ascii="Arial" w:hAnsi="Arial" w:cs="Arial"/>
                <w:color w:val="auto"/>
              </w:rPr>
              <w:t xml:space="preserve">Hamish McTaggart –Development Coordinator </w:t>
            </w:r>
          </w:p>
        </w:tc>
      </w:tr>
      <w:tr w:rsidR="00CA7020" w:rsidRPr="00BB5C50" w14:paraId="4E8C088E" w14:textId="77777777" w:rsidTr="005329C4">
        <w:trPr>
          <w:trHeight w:val="85"/>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1CD2646" w14:textId="78CBA14E" w:rsidR="00CA7020" w:rsidRPr="004D126E" w:rsidRDefault="00CA7020" w:rsidP="005329C4">
            <w:pPr>
              <w:spacing w:before="60" w:after="60"/>
              <w:rPr>
                <w:rFonts w:ascii="Arial" w:hAnsi="Arial" w:cs="Arial"/>
              </w:rPr>
            </w:pPr>
            <w:r w:rsidRPr="00CA7020">
              <w:rPr>
                <w:rFonts w:ascii="Arial" w:hAnsi="Arial" w:cs="Arial"/>
                <w:color w:val="auto"/>
                <w:sz w:val="22"/>
                <w:szCs w:val="22"/>
              </w:rPr>
              <w:t>DATE</w:t>
            </w:r>
          </w:p>
        </w:tc>
        <w:tc>
          <w:tcPr>
            <w:tcW w:w="3393" w:type="pct"/>
            <w:vAlign w:val="center"/>
          </w:tcPr>
          <w:p w14:paraId="26420A26" w14:textId="587A8E8F" w:rsidR="00CA7020" w:rsidRPr="00B646C4" w:rsidRDefault="00FD3DF5" w:rsidP="005329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646C4">
              <w:rPr>
                <w:rFonts w:ascii="Arial" w:hAnsi="Arial" w:cs="Arial"/>
                <w:color w:val="auto"/>
              </w:rPr>
              <w:t xml:space="preserve">1 August </w:t>
            </w:r>
            <w:r w:rsidR="00CA7020" w:rsidRPr="00B646C4">
              <w:rPr>
                <w:rFonts w:ascii="Arial" w:hAnsi="Arial" w:cs="Arial"/>
                <w:color w:val="auto"/>
              </w:rPr>
              <w:t>2022</w:t>
            </w:r>
          </w:p>
        </w:tc>
      </w:tr>
      <w:tr w:rsidR="00B646C4" w:rsidRPr="00BB5C50" w14:paraId="38294E02" w14:textId="77777777" w:rsidTr="00B646C4">
        <w:trPr>
          <w:trHeight w:val="104"/>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E553320" w14:textId="0B859307" w:rsidR="00B646C4" w:rsidRPr="00B646C4" w:rsidRDefault="00B646C4" w:rsidP="005329C4">
            <w:pPr>
              <w:spacing w:before="60" w:after="60"/>
              <w:rPr>
                <w:rFonts w:ascii="Arial" w:hAnsi="Arial" w:cs="Arial"/>
                <w:sz w:val="22"/>
                <w:szCs w:val="22"/>
              </w:rPr>
            </w:pPr>
            <w:r w:rsidRPr="00B646C4">
              <w:rPr>
                <w:rFonts w:ascii="Arial" w:hAnsi="Arial" w:cs="Arial"/>
                <w:sz w:val="22"/>
                <w:szCs w:val="22"/>
              </w:rPr>
              <w:t>SUBJECT</w:t>
            </w:r>
          </w:p>
        </w:tc>
        <w:tc>
          <w:tcPr>
            <w:tcW w:w="3393" w:type="pct"/>
            <w:vAlign w:val="center"/>
          </w:tcPr>
          <w:p w14:paraId="25974B1D" w14:textId="230AC822" w:rsidR="00B646C4" w:rsidRPr="00B646C4" w:rsidRDefault="00B646C4" w:rsidP="005329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646C4">
              <w:rPr>
                <w:rFonts w:ascii="Arial" w:hAnsi="Arial" w:cs="Arial"/>
                <w:color w:val="auto"/>
              </w:rPr>
              <w:t>Recommended Conditions of Consent</w:t>
            </w:r>
          </w:p>
        </w:tc>
      </w:tr>
    </w:tbl>
    <w:p w14:paraId="0E4E67EE" w14:textId="7C1A1B03" w:rsidR="004D126E" w:rsidRDefault="004D126E"/>
    <w:p w14:paraId="369AA89B" w14:textId="77777777" w:rsidR="00B646C4" w:rsidRDefault="00B646C4">
      <w:r>
        <w:t xml:space="preserve">This memorandum has been prepared to assist the panel in their deliberations determining DA 2021/55 (PPSHCC-82). </w:t>
      </w:r>
    </w:p>
    <w:p w14:paraId="4C487C2F" w14:textId="77777777" w:rsidR="00E56189" w:rsidRDefault="00B646C4">
      <w:r>
        <w:t xml:space="preserve">Following the 29 July 2022 Panel Determination Briefings Council Officers have taken into consideration matters discussed at the Briefing and </w:t>
      </w:r>
      <w:r w:rsidR="00E56189">
        <w:t xml:space="preserve">commentary put forward by the Panel in relation to the recommended conditions of consent. After considering this commentary Council Officers have revisited the recommended conditions put forward and now put forward the recommended conditions attached. </w:t>
      </w:r>
    </w:p>
    <w:p w14:paraId="55C277D7" w14:textId="77777777" w:rsidR="00E56189" w:rsidRDefault="00E56189">
      <w:r>
        <w:t xml:space="preserve">Key amendments included in the updated recommended conditions have been briefly described below: </w:t>
      </w:r>
    </w:p>
    <w:p w14:paraId="3A8ED1FA" w14:textId="77777777" w:rsidR="00E56189" w:rsidRDefault="00E56189">
      <w:r>
        <w:rPr>
          <w:b/>
          <w:bCs/>
        </w:rPr>
        <w:t xml:space="preserve">Planning Agreement Conditions – </w:t>
      </w:r>
      <w:r>
        <w:t xml:space="preserve">the recommended conditions have been adjusted to require all Planning Agreements to be entered into prior to the issue of a Construction Certificate. </w:t>
      </w:r>
    </w:p>
    <w:p w14:paraId="3B61CEF9" w14:textId="6FAD8FC7" w:rsidR="00E56189" w:rsidRDefault="00E56189">
      <w:r>
        <w:rPr>
          <w:b/>
          <w:bCs/>
        </w:rPr>
        <w:t xml:space="preserve">Northern Fence alignment </w:t>
      </w:r>
      <w:r>
        <w:t>– a recommended condition has been put forward to require the northern compound fence location to be adjusted and realigned to be a minimum of an additional 0.5m from that adjoining boundary. Related plans are to be submitted and approved prior to the issue of a Construction Certificate.</w:t>
      </w:r>
    </w:p>
    <w:p w14:paraId="7071C4AB" w14:textId="03D297A8" w:rsidR="00A239C6" w:rsidRPr="00A239C6" w:rsidRDefault="00A239C6">
      <w:r w:rsidRPr="00A239C6">
        <w:rPr>
          <w:b/>
          <w:bCs/>
        </w:rPr>
        <w:t xml:space="preserve">Landscaping </w:t>
      </w:r>
      <w:r>
        <w:rPr>
          <w:b/>
          <w:bCs/>
        </w:rPr>
        <w:t xml:space="preserve">– </w:t>
      </w:r>
      <w:r>
        <w:t xml:space="preserve">a recommended condition of consent has been put forward to require an updated landscape plan prior to the issue of a Construction Certificate that includes additional landscaping adjacent the adjusted northern boundary fence setback. </w:t>
      </w:r>
    </w:p>
    <w:p w14:paraId="201D4E66" w14:textId="4110AC4C" w:rsidR="00E56189" w:rsidRDefault="00E56189">
      <w:r>
        <w:rPr>
          <w:b/>
          <w:bCs/>
        </w:rPr>
        <w:t xml:space="preserve">Materials and Colour Scheme Detail </w:t>
      </w:r>
      <w:r w:rsidR="00A239C6">
        <w:rPr>
          <w:b/>
          <w:bCs/>
        </w:rPr>
        <w:t>–</w:t>
      </w:r>
      <w:r>
        <w:rPr>
          <w:b/>
          <w:bCs/>
        </w:rPr>
        <w:t xml:space="preserve"> </w:t>
      </w:r>
      <w:r w:rsidR="00A239C6">
        <w:t xml:space="preserve">a recommended condition has been put forward for a detailed material and colour scheme schedule to be provided and approved by Council prior to the issue of a Construction Certificate the plan is to be generally in accordance with the material and colour scheme detail and information included in the development application. </w:t>
      </w:r>
    </w:p>
    <w:p w14:paraId="37994BFC" w14:textId="77777777" w:rsidR="00812BA1" w:rsidRDefault="00A239C6">
      <w:r>
        <w:rPr>
          <w:b/>
          <w:bCs/>
        </w:rPr>
        <w:t xml:space="preserve">Construction Traffic Management Plan – </w:t>
      </w:r>
      <w:r>
        <w:t xml:space="preserve">a recommended condition of consent has been included requiring the submission and approval of a Construction Management Plan. This recommended </w:t>
      </w:r>
      <w:r>
        <w:lastRenderedPageBreak/>
        <w:t xml:space="preserve">condition has been modelled on </w:t>
      </w:r>
      <w:r w:rsidR="00812BA1">
        <w:t xml:space="preserve">conditions used by the Panel when determining other development applications within the Muswellbrook LGA, while being adjusted to account for the traffic scenario relevant to this application. </w:t>
      </w:r>
    </w:p>
    <w:p w14:paraId="37AEB627" w14:textId="4A7FE4D0" w:rsidR="00A239C6" w:rsidRDefault="00812BA1">
      <w:r>
        <w:rPr>
          <w:b/>
          <w:bCs/>
        </w:rPr>
        <w:t xml:space="preserve">Zone of Influence – </w:t>
      </w:r>
      <w:r>
        <w:t xml:space="preserve">this recommended condition has been put forward to ensure that the footings of the new northern boundary fence location are designed to have regard to the location of Council’s adjoining stormwater infrastructure and to ensure any structural loading on this infrastructure is managed through the development design. </w:t>
      </w:r>
    </w:p>
    <w:p w14:paraId="2779CD31" w14:textId="0DAB5982" w:rsidR="00812BA1" w:rsidRPr="00812BA1" w:rsidRDefault="00812BA1">
      <w:r>
        <w:rPr>
          <w:b/>
          <w:bCs/>
        </w:rPr>
        <w:t xml:space="preserve">Material storage </w:t>
      </w:r>
      <w:r>
        <w:t xml:space="preserve">– an additional condition has been recommended to make clear that all waste and recycle materials are not to be stored outside the designated material storage areas. </w:t>
      </w:r>
    </w:p>
    <w:p w14:paraId="750C79AD" w14:textId="77777777" w:rsidR="00E56189" w:rsidRDefault="00E56189"/>
    <w:p w14:paraId="487347B3" w14:textId="324DFDC0" w:rsidR="00B646C4" w:rsidRDefault="00B646C4">
      <w:r>
        <w:t xml:space="preserve"> </w:t>
      </w:r>
    </w:p>
    <w:p w14:paraId="5260D914" w14:textId="77777777" w:rsidR="00B646C4" w:rsidRDefault="00B646C4"/>
    <w:sectPr w:rsidR="00B64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907AF"/>
    <w:multiLevelType w:val="hybridMultilevel"/>
    <w:tmpl w:val="AC1C2876"/>
    <w:lvl w:ilvl="0" w:tplc="C548D574">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B30ADC"/>
    <w:multiLevelType w:val="hybridMultilevel"/>
    <w:tmpl w:val="A98AB27A"/>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 w15:restartNumberingAfterBreak="0">
    <w:nsid w:val="3CB23913"/>
    <w:multiLevelType w:val="hybridMultilevel"/>
    <w:tmpl w:val="99388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FBC7885"/>
    <w:multiLevelType w:val="hybridMultilevel"/>
    <w:tmpl w:val="DA6C13F2"/>
    <w:lvl w:ilvl="0" w:tplc="C8D078A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2EE0869"/>
    <w:multiLevelType w:val="hybridMultilevel"/>
    <w:tmpl w:val="86A0521E"/>
    <w:lvl w:ilvl="0" w:tplc="F3A8FFA2">
      <w:numFmt w:val="bullet"/>
      <w:lvlText w:val="-"/>
      <w:lvlJc w:val="left"/>
      <w:pPr>
        <w:ind w:left="1058" w:hanging="360"/>
      </w:pPr>
      <w:rPr>
        <w:rFonts w:ascii="Calibri" w:eastAsiaTheme="minorHAnsi" w:hAnsi="Calibri" w:cs="Calibri" w:hint="default"/>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num w:numId="1" w16cid:durableId="1443763370">
    <w:abstractNumId w:val="0"/>
  </w:num>
  <w:num w:numId="2" w16cid:durableId="935594573">
    <w:abstractNumId w:val="2"/>
  </w:num>
  <w:num w:numId="3" w16cid:durableId="544566689">
    <w:abstractNumId w:val="4"/>
  </w:num>
  <w:num w:numId="4" w16cid:durableId="338429023">
    <w:abstractNumId w:val="3"/>
  </w:num>
  <w:num w:numId="5" w16cid:durableId="57703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6E"/>
    <w:rsid w:val="00006096"/>
    <w:rsid w:val="000555C2"/>
    <w:rsid w:val="000657FA"/>
    <w:rsid w:val="000A177F"/>
    <w:rsid w:val="000D00F5"/>
    <w:rsid w:val="000D1009"/>
    <w:rsid w:val="00173A76"/>
    <w:rsid w:val="001E2F2A"/>
    <w:rsid w:val="001F11C0"/>
    <w:rsid w:val="002077FD"/>
    <w:rsid w:val="00210011"/>
    <w:rsid w:val="00231461"/>
    <w:rsid w:val="00234B77"/>
    <w:rsid w:val="00235DFF"/>
    <w:rsid w:val="002364AA"/>
    <w:rsid w:val="002B0106"/>
    <w:rsid w:val="002D3736"/>
    <w:rsid w:val="002E18D2"/>
    <w:rsid w:val="00304401"/>
    <w:rsid w:val="00335F3D"/>
    <w:rsid w:val="00386A14"/>
    <w:rsid w:val="003C76F3"/>
    <w:rsid w:val="003E2867"/>
    <w:rsid w:val="003F6822"/>
    <w:rsid w:val="004230B3"/>
    <w:rsid w:val="00457333"/>
    <w:rsid w:val="00461500"/>
    <w:rsid w:val="004834AB"/>
    <w:rsid w:val="004D126E"/>
    <w:rsid w:val="00502949"/>
    <w:rsid w:val="00504441"/>
    <w:rsid w:val="0050658F"/>
    <w:rsid w:val="00531275"/>
    <w:rsid w:val="0053627A"/>
    <w:rsid w:val="00556697"/>
    <w:rsid w:val="005C4FB7"/>
    <w:rsid w:val="005D0AD9"/>
    <w:rsid w:val="00607AEE"/>
    <w:rsid w:val="00661BA4"/>
    <w:rsid w:val="006B0EEA"/>
    <w:rsid w:val="006B38EB"/>
    <w:rsid w:val="00700AB9"/>
    <w:rsid w:val="00706E48"/>
    <w:rsid w:val="00714639"/>
    <w:rsid w:val="00727138"/>
    <w:rsid w:val="00734C03"/>
    <w:rsid w:val="00786AE0"/>
    <w:rsid w:val="00792643"/>
    <w:rsid w:val="007C65EA"/>
    <w:rsid w:val="00812BA1"/>
    <w:rsid w:val="008435E6"/>
    <w:rsid w:val="00865626"/>
    <w:rsid w:val="00916F24"/>
    <w:rsid w:val="00922B96"/>
    <w:rsid w:val="00930A79"/>
    <w:rsid w:val="009C51E9"/>
    <w:rsid w:val="009C7D42"/>
    <w:rsid w:val="009E2201"/>
    <w:rsid w:val="00A20490"/>
    <w:rsid w:val="00A239C6"/>
    <w:rsid w:val="00A26BD6"/>
    <w:rsid w:val="00A270A9"/>
    <w:rsid w:val="00A66543"/>
    <w:rsid w:val="00A8547D"/>
    <w:rsid w:val="00A93E9A"/>
    <w:rsid w:val="00AA08E7"/>
    <w:rsid w:val="00AB2EEC"/>
    <w:rsid w:val="00AC02BC"/>
    <w:rsid w:val="00B13DE4"/>
    <w:rsid w:val="00B61CCA"/>
    <w:rsid w:val="00B646C4"/>
    <w:rsid w:val="00B83699"/>
    <w:rsid w:val="00B83957"/>
    <w:rsid w:val="00BD4F8A"/>
    <w:rsid w:val="00C02B3C"/>
    <w:rsid w:val="00C76783"/>
    <w:rsid w:val="00C80D7A"/>
    <w:rsid w:val="00C95393"/>
    <w:rsid w:val="00C95BB1"/>
    <w:rsid w:val="00CA7020"/>
    <w:rsid w:val="00CC11EF"/>
    <w:rsid w:val="00CC1F1A"/>
    <w:rsid w:val="00CF7066"/>
    <w:rsid w:val="00D067E5"/>
    <w:rsid w:val="00DB64C7"/>
    <w:rsid w:val="00E0380F"/>
    <w:rsid w:val="00E04243"/>
    <w:rsid w:val="00E1717F"/>
    <w:rsid w:val="00E433CC"/>
    <w:rsid w:val="00E56189"/>
    <w:rsid w:val="00E574B1"/>
    <w:rsid w:val="00E77883"/>
    <w:rsid w:val="00E852CA"/>
    <w:rsid w:val="00EC0110"/>
    <w:rsid w:val="00F17397"/>
    <w:rsid w:val="00F35D94"/>
    <w:rsid w:val="00F72B41"/>
    <w:rsid w:val="00F847AE"/>
    <w:rsid w:val="00F92E13"/>
    <w:rsid w:val="00FA1259"/>
    <w:rsid w:val="00FC5F49"/>
    <w:rsid w:val="00FD3C49"/>
    <w:rsid w:val="00FD3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D928"/>
  <w15:chartTrackingRefBased/>
  <w15:docId w15:val="{2FABA390-CB82-40FC-8BF8-B5C72F67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4D126E"/>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uiPriority w:val="34"/>
    <w:qFormat/>
    <w:rsid w:val="004D126E"/>
    <w:pPr>
      <w:ind w:left="720"/>
      <w:contextualSpacing/>
    </w:pPr>
  </w:style>
  <w:style w:type="character" w:styleId="PlaceholderText">
    <w:name w:val="Placeholder Text"/>
    <w:basedOn w:val="DefaultParagraphFont"/>
    <w:uiPriority w:val="99"/>
    <w:semiHidden/>
    <w:rsid w:val="00A854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526190">
      <w:bodyDiv w:val="1"/>
      <w:marLeft w:val="0"/>
      <w:marRight w:val="0"/>
      <w:marTop w:val="0"/>
      <w:marBottom w:val="0"/>
      <w:divBdr>
        <w:top w:val="none" w:sz="0" w:space="0" w:color="auto"/>
        <w:left w:val="none" w:sz="0" w:space="0" w:color="auto"/>
        <w:bottom w:val="none" w:sz="0" w:space="0" w:color="auto"/>
        <w:right w:val="none" w:sz="0" w:space="0" w:color="auto"/>
      </w:divBdr>
    </w:div>
    <w:div w:id="13730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B6F4A329C5466AB646D7B68FAC7184"/>
        <w:category>
          <w:name w:val="General"/>
          <w:gallery w:val="placeholder"/>
        </w:category>
        <w:types>
          <w:type w:val="bbPlcHdr"/>
        </w:types>
        <w:behaviors>
          <w:behavior w:val="content"/>
        </w:behaviors>
        <w:guid w:val="{1B0F17C3-5BC7-487A-A041-E7849D13FA9B}"/>
      </w:docPartPr>
      <w:docPartBody>
        <w:p w:rsidR="0019486F" w:rsidRDefault="002F1AD8" w:rsidP="002F1AD8">
          <w:pPr>
            <w:pStyle w:val="C8B6F4A329C5466AB646D7B68FAC7184"/>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D8"/>
    <w:rsid w:val="0019486F"/>
    <w:rsid w:val="002F1AD8"/>
    <w:rsid w:val="00666BC2"/>
    <w:rsid w:val="00C8461B"/>
    <w:rsid w:val="00D135B6"/>
    <w:rsid w:val="00D42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AD8"/>
    <w:rPr>
      <w:color w:val="808080"/>
    </w:rPr>
  </w:style>
  <w:style w:type="paragraph" w:customStyle="1" w:styleId="C8B6F4A329C5466AB646D7B68FAC7184">
    <w:name w:val="C8B6F4A329C5466AB646D7B68FAC7184"/>
    <w:rsid w:val="002F1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A40F-FAF1-45D1-AEB6-C5B68EB2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McTaggart</dc:creator>
  <cp:keywords/>
  <dc:description/>
  <cp:lastModifiedBy>Hamish McTaggart</cp:lastModifiedBy>
  <cp:revision>19</cp:revision>
  <cp:lastPrinted>2022-07-27T05:53:00Z</cp:lastPrinted>
  <dcterms:created xsi:type="dcterms:W3CDTF">2022-07-26T00:47:00Z</dcterms:created>
  <dcterms:modified xsi:type="dcterms:W3CDTF">2022-08-01T01:54:00Z</dcterms:modified>
</cp:coreProperties>
</file>